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4C615560"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C31654" w:rsidRPr="00C31654">
        <w:t>231</w:t>
      </w:r>
      <w:r w:rsidR="00320EAE">
        <w:t>7651</w:t>
      </w:r>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2D6CCC19"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6556C1C4"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2A4A93">
        <w:rPr>
          <w:rFonts w:ascii="Arial" w:hAnsi="Arial" w:cs="Arial"/>
          <w:bCs/>
          <w:sz w:val="22"/>
          <w:szCs w:val="22"/>
        </w:rPr>
        <w:t>5008</w:t>
      </w:r>
      <w:r w:rsidR="004D6C22">
        <w:rPr>
          <w:rFonts w:ascii="Arial" w:hAnsi="Arial" w:cs="Arial"/>
          <w:bCs/>
          <w:sz w:val="22"/>
          <w:szCs w:val="22"/>
        </w:rPr>
        <w:t xml:space="preserve"> (R1-2308561)</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4A4AEB79"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D6C22">
        <w:rPr>
          <w:rFonts w:ascii="Arial" w:hAnsi="Arial" w:cs="Arial"/>
          <w:sz w:val="22"/>
          <w:szCs w:val="22"/>
        </w:rPr>
        <w:t xml:space="preserve">TSG RAN WG1, </w:t>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 xml:space="preserve">Xiang </w:t>
      </w:r>
      <w:proofErr w:type="gramStart"/>
      <w:r w:rsidRPr="000D70C6">
        <w:rPr>
          <w:rFonts w:eastAsiaTheme="minorEastAsia" w:cs="Arial"/>
          <w:sz w:val="22"/>
        </w:rPr>
        <w:t>Gao</w:t>
      </w:r>
      <w:proofErr w:type="gramEnd"/>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4AB678C3"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thanks RAN1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 xml:space="preserve">enhancements to realize increasing UE power high </w:t>
      </w:r>
      <w:proofErr w:type="gramStart"/>
      <w:r>
        <w:rPr>
          <w:rFonts w:ascii="Arial" w:eastAsia="Yu Mincho" w:hAnsi="Arial" w:cs="Arial"/>
          <w:bCs/>
          <w:iCs/>
          <w:lang w:val="en-US" w:eastAsia="ja-JP"/>
        </w:rPr>
        <w:t>limit</w:t>
      </w:r>
      <w:proofErr w:type="gramEnd"/>
      <w:r>
        <w:rPr>
          <w:rFonts w:ascii="Arial" w:eastAsia="Yu Mincho" w:hAnsi="Arial" w:cs="Arial"/>
          <w:bCs/>
          <w:iCs/>
          <w:lang w:val="en-US" w:eastAsia="ja-JP"/>
        </w:rPr>
        <w:t xml:space="preserve"> for CA and DC in R1-2308561.</w:t>
      </w:r>
    </w:p>
    <w:p w14:paraId="7B68C37F" w14:textId="72FC3705"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RAN1, RAN4 would like to share the following answers based on RAN4 latest discussion outcome</w:t>
      </w:r>
      <w:r w:rsidR="00A4204C">
        <w:rPr>
          <w:rFonts w:ascii="Arial" w:hAnsi="Arial" w:cs="Arial"/>
          <w:lang w:val="en-US"/>
        </w:rPr>
        <w:t>s</w:t>
      </w:r>
      <w:r>
        <w:rPr>
          <w:rFonts w:ascii="Arial" w:hAnsi="Arial" w:cs="Arial"/>
          <w:lang w:val="en-US"/>
        </w:rPr>
        <w:t xml:space="preserve"> in R4-2314703.</w:t>
      </w:r>
    </w:p>
    <w:p w14:paraId="63DDD595" w14:textId="3C670090"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Pr="0025409F">
        <w:rPr>
          <w:rFonts w:ascii="Arial" w:eastAsia="Yu Mincho" w:hAnsi="Arial" w:cs="Arial"/>
          <w:iCs/>
          <w:sz w:val="20"/>
          <w:szCs w:val="20"/>
          <w:lang w:val="en-US" w:eastAsia="ja-JP"/>
        </w:rPr>
        <w:t>It is RAN1 understanding that </w:t>
      </w:r>
      <w:r w:rsidRPr="0025409F">
        <w:rPr>
          <w:rFonts w:ascii="Arial" w:eastAsia="Yu Mincho" w:hAnsi="Arial" w:cs="Arial"/>
          <w:iCs/>
          <w:sz w:val="20"/>
          <w:szCs w:val="20"/>
          <w:lang w:val="fr-FR" w:eastAsia="ja-JP"/>
        </w:rPr>
        <w:t>Δ</w:t>
      </w:r>
      <w:proofErr w:type="spellStart"/>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proofErr w:type="spellEnd"/>
      <w:r w:rsidRPr="0025409F">
        <w:rPr>
          <w:rFonts w:ascii="Arial" w:eastAsia="Yu Mincho" w:hAnsi="Arial" w:cs="Arial"/>
          <w:iCs/>
          <w:sz w:val="20"/>
          <w:szCs w:val="20"/>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25409F">
        <w:rPr>
          <w:rFonts w:ascii="Arial" w:eastAsia="Yu Mincho" w:hAnsi="Arial" w:cs="Arial"/>
          <w:iCs/>
          <w:sz w:val="20"/>
          <w:szCs w:val="20"/>
          <w:lang w:val="fr-FR" w:eastAsia="ja-JP"/>
        </w:rPr>
        <w:t>Δ</w:t>
      </w:r>
      <w:proofErr w:type="spellStart"/>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proofErr w:type="spellEnd"/>
      <w:r w:rsidRPr="0025409F">
        <w:rPr>
          <w:rFonts w:ascii="Arial" w:eastAsia="Yu Mincho" w:hAnsi="Arial" w:cs="Arial"/>
          <w:iCs/>
          <w:sz w:val="20"/>
          <w:szCs w:val="20"/>
          <w:vertAlign w:val="subscript"/>
          <w:lang w:val="en-US" w:eastAsia="ja-JP"/>
        </w:rPr>
        <w:t xml:space="preserve"> </w:t>
      </w:r>
      <w:r w:rsidRPr="0025409F">
        <w:rPr>
          <w:rFonts w:ascii="Arial" w:eastAsia="Yu Mincho" w:hAnsi="Arial" w:cs="Arial"/>
          <w:iCs/>
          <w:sz w:val="20"/>
          <w:szCs w:val="20"/>
          <w:lang w:val="en-US" w:eastAsia="ja-JP"/>
        </w:rPr>
        <w:t>reporting in PHR MAC CE?</w:t>
      </w:r>
    </w:p>
    <w:p w14:paraId="3ECE07EA" w14:textId="47AAA64E" w:rsidR="00DA0048" w:rsidRPr="001E4E65" w:rsidRDefault="00DA0048" w:rsidP="001E4E65">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1E4E65">
        <w:rPr>
          <w:rFonts w:ascii="Arial" w:eastAsia="Yu Mincho" w:hAnsi="Arial" w:cs="Arial"/>
          <w:b/>
          <w:bCs/>
          <w:iCs/>
          <w:sz w:val="20"/>
          <w:szCs w:val="20"/>
          <w:lang w:eastAsia="ja-JP"/>
        </w:rPr>
        <w:t>Answer from RAN4</w:t>
      </w:r>
      <w:r w:rsidRPr="001E4E65">
        <w:rPr>
          <w:rFonts w:ascii="Arial" w:eastAsia="Yu Mincho" w:hAnsi="Arial" w:cs="Arial"/>
          <w:iCs/>
          <w:sz w:val="20"/>
          <w:szCs w:val="20"/>
          <w:lang w:eastAsia="ja-JP"/>
        </w:rPr>
        <w:t xml:space="preserve">: </w:t>
      </w:r>
      <w:r w:rsidR="001E4E65" w:rsidRPr="001E4E65">
        <w:rPr>
          <w:rFonts w:ascii="Arial" w:eastAsia="Yu Mincho" w:hAnsi="Arial" w:cs="Arial"/>
          <w:iCs/>
          <w:sz w:val="20"/>
          <w:szCs w:val="20"/>
          <w:lang w:val="en-US" w:eastAsia="ja-JP"/>
        </w:rPr>
        <w:t xml:space="preserve">RAN4 confirms that the cases to enable UE to report </w:t>
      </w:r>
      <w:proofErr w:type="spellStart"/>
      <w:r w:rsidR="001E4E65" w:rsidRPr="001E4E65">
        <w:rPr>
          <w:rFonts w:ascii="Arial" w:eastAsia="Yu Mincho" w:hAnsi="Arial" w:cs="Arial"/>
          <w:iCs/>
          <w:sz w:val="20"/>
          <w:szCs w:val="20"/>
          <w:lang w:val="en-US" w:eastAsia="ja-JP"/>
        </w:rPr>
        <w:t>ΔP</w:t>
      </w:r>
      <w:r w:rsidR="001E4E65" w:rsidRPr="001E4E65">
        <w:rPr>
          <w:rFonts w:ascii="Arial" w:eastAsia="Yu Mincho" w:hAnsi="Arial" w:cs="Arial"/>
          <w:iCs/>
          <w:sz w:val="20"/>
          <w:szCs w:val="20"/>
          <w:vertAlign w:val="subscript"/>
          <w:lang w:val="en-US" w:eastAsia="ja-JP"/>
        </w:rPr>
        <w:t>PowerClass</w:t>
      </w:r>
      <w:proofErr w:type="spellEnd"/>
      <w:r w:rsidR="001E4E65" w:rsidRPr="001E4E65">
        <w:rPr>
          <w:rFonts w:ascii="Arial" w:eastAsia="Yu Mincho" w:hAnsi="Arial" w:cs="Arial"/>
          <w:iCs/>
          <w:sz w:val="20"/>
          <w:szCs w:val="20"/>
          <w:lang w:val="en-US" w:eastAsia="ja-JP"/>
        </w:rPr>
        <w:t xml:space="preserve"> are limited to occasions when maximum transmission power changes originating from a duty cycle mechanism. This principle applies to not only single carrier case, but also multiple carrier case for CA/DC.</w:t>
      </w:r>
      <w:r w:rsidR="00A404E2" w:rsidRPr="001E4E65">
        <w:rPr>
          <w:rFonts w:ascii="Arial" w:eastAsia="Yu Mincho" w:hAnsi="Arial" w:cs="Arial"/>
          <w:iCs/>
          <w:sz w:val="20"/>
          <w:szCs w:val="20"/>
          <w:lang w:val="en-US" w:eastAsia="ja-JP"/>
        </w:rPr>
        <w:t xml:space="preserve"> </w:t>
      </w:r>
      <w:r w:rsidR="00014351" w:rsidRPr="001E4E65">
        <w:rPr>
          <w:rFonts w:ascii="Arial" w:eastAsia="Yu Mincho" w:hAnsi="Arial" w:cs="Arial"/>
          <w:iCs/>
          <w:sz w:val="20"/>
          <w:szCs w:val="20"/>
          <w:lang w:val="en-US" w:eastAsia="ja-JP"/>
        </w:rPr>
        <w:t xml:space="preserve"> </w:t>
      </w:r>
    </w:p>
    <w:p w14:paraId="721292D4"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val="en-US" w:eastAsia="ja-JP"/>
        </w:rPr>
      </w:pPr>
    </w:p>
    <w:p w14:paraId="50579F27" w14:textId="77777777"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xml:space="preserve">: In case of duty cycle </w:t>
      </w:r>
      <w:proofErr w:type="spellStart"/>
      <w:r w:rsidRPr="0025409F">
        <w:rPr>
          <w:rFonts w:ascii="Arial" w:eastAsia="Yu Mincho" w:hAnsi="Arial" w:cs="Arial"/>
          <w:iCs/>
          <w:sz w:val="20"/>
          <w:szCs w:val="20"/>
          <w:lang w:eastAsia="ja-JP"/>
        </w:rPr>
        <w:t>exceedance</w:t>
      </w:r>
      <w:proofErr w:type="spellEnd"/>
      <w:r w:rsidRPr="0025409F">
        <w:rPr>
          <w:rFonts w:ascii="Arial" w:eastAsia="Yu Mincho" w:hAnsi="Arial" w:cs="Arial"/>
          <w:iCs/>
          <w:sz w:val="20"/>
          <w:szCs w:val="20"/>
          <w:lang w:eastAsia="ja-JP"/>
        </w:rPr>
        <w:t xml:space="preserve">, and resulting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reporting as per recommendation in R4-2310500, is a further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reporting also allowed when UE returns to advertised PC power capabilities? </w:t>
      </w:r>
    </w:p>
    <w:p w14:paraId="48A12EF8" w14:textId="79E810FE"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553015" w:rsidRPr="0025409F">
        <w:rPr>
          <w:rFonts w:ascii="Arial" w:eastAsia="Yu Mincho" w:hAnsi="Arial" w:cs="Arial"/>
          <w:iCs/>
          <w:sz w:val="20"/>
          <w:szCs w:val="20"/>
          <w:lang w:val="en-US" w:eastAsia="ja-JP"/>
        </w:rPr>
        <w:t xml:space="preserve">As clarified in R4-2314703, </w:t>
      </w:r>
      <w:proofErr w:type="spellStart"/>
      <w:r w:rsidR="00553015" w:rsidRPr="0025409F">
        <w:rPr>
          <w:rFonts w:ascii="Arial" w:eastAsia="Yu Mincho" w:hAnsi="Arial" w:cs="Arial"/>
          <w:iCs/>
          <w:sz w:val="20"/>
          <w:szCs w:val="20"/>
          <w:lang w:eastAsia="ja-JP"/>
        </w:rPr>
        <w:t>ΔP</w:t>
      </w:r>
      <w:r w:rsidR="00553015" w:rsidRPr="0025409F">
        <w:rPr>
          <w:rFonts w:ascii="Arial" w:eastAsia="Yu Mincho" w:hAnsi="Arial" w:cs="Arial"/>
          <w:iCs/>
          <w:sz w:val="20"/>
          <w:szCs w:val="20"/>
          <w:vertAlign w:val="subscript"/>
          <w:lang w:eastAsia="ja-JP"/>
        </w:rPr>
        <w:t>PowerClass</w:t>
      </w:r>
      <w:proofErr w:type="spellEnd"/>
      <w:r w:rsidR="00553015" w:rsidRPr="0025409F">
        <w:rPr>
          <w:rFonts w:ascii="Arial" w:eastAsia="Yu Mincho" w:hAnsi="Arial" w:cs="Arial"/>
          <w:iCs/>
          <w:sz w:val="20"/>
          <w:szCs w:val="20"/>
          <w:lang w:eastAsia="ja-JP"/>
        </w:rPr>
        <w:t xml:space="preserve"> reporting is also allowed when UE returns to advertised </w:t>
      </w:r>
      <w:r w:rsidR="00593B7F" w:rsidRPr="0025409F">
        <w:rPr>
          <w:rFonts w:ascii="Arial" w:eastAsia="Yu Mincho" w:hAnsi="Arial" w:cs="Arial"/>
          <w:iCs/>
          <w:sz w:val="20"/>
          <w:szCs w:val="20"/>
          <w:lang w:eastAsia="ja-JP"/>
        </w:rPr>
        <w:t>power class</w:t>
      </w:r>
      <w:r w:rsidR="00553015" w:rsidRPr="0025409F">
        <w:rPr>
          <w:rFonts w:ascii="Arial" w:eastAsia="Yu Mincho" w:hAnsi="Arial" w:cs="Arial"/>
          <w:iCs/>
          <w:sz w:val="20"/>
          <w:szCs w:val="20"/>
          <w:lang w:eastAsia="ja-JP"/>
        </w:rPr>
        <w:t xml:space="preserve"> reference after </w:t>
      </w:r>
      <w:r w:rsidR="00553015" w:rsidRPr="0025409F">
        <w:rPr>
          <w:rFonts w:ascii="Arial" w:hAnsi="Arial" w:cs="Arial"/>
          <w:sz w:val="20"/>
          <w:szCs w:val="20"/>
          <w:lang w:eastAsia="ja-JP"/>
        </w:rPr>
        <w:t xml:space="preserve">duty cycle </w:t>
      </w:r>
      <w:proofErr w:type="spellStart"/>
      <w:r w:rsidR="00553015" w:rsidRPr="0025409F">
        <w:rPr>
          <w:rFonts w:ascii="Arial" w:hAnsi="Arial" w:cs="Arial"/>
          <w:sz w:val="20"/>
          <w:szCs w:val="20"/>
          <w:lang w:eastAsia="ja-JP"/>
        </w:rPr>
        <w:t>exceedance</w:t>
      </w:r>
      <w:proofErr w:type="spellEnd"/>
      <w:r w:rsidR="00553015" w:rsidRPr="0025409F">
        <w:rPr>
          <w:rFonts w:ascii="Arial" w:hAnsi="Arial" w:cs="Arial"/>
          <w:sz w:val="20"/>
          <w:szCs w:val="20"/>
          <w:lang w:eastAsia="ja-JP"/>
        </w:rPr>
        <w:t>.</w:t>
      </w:r>
    </w:p>
    <w:p w14:paraId="65160F7E"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ED56891" w14:textId="6DE0ED19"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confirm the correctness of RAN1’s understanding as per observation b) concerning the recommendation </w:t>
      </w:r>
      <w:r w:rsidRPr="0025409F">
        <w:rPr>
          <w:rFonts w:ascii="Arial" w:eastAsia="Yu Mincho" w:hAnsi="Arial" w:cs="Arial"/>
          <w:bCs/>
          <w:iCs/>
          <w:color w:val="000000" w:themeColor="text1"/>
          <w:sz w:val="20"/>
          <w:szCs w:val="20"/>
          <w:lang w:val="en-US" w:eastAsia="ja-JP"/>
        </w:rPr>
        <w:t xml:space="preserve">of </w:t>
      </w:r>
      <w:r w:rsidRPr="0025409F">
        <w:rPr>
          <w:rFonts w:ascii="Arial" w:eastAsia="Yu Mincho" w:hAnsi="Arial" w:cs="Arial"/>
          <w:bCs/>
          <w:iCs/>
          <w:color w:val="000000" w:themeColor="text1"/>
          <w:sz w:val="20"/>
          <w:szCs w:val="20"/>
          <w:lang w:eastAsia="ja-JP"/>
        </w:rPr>
        <w:t xml:space="preserve">enabling UE report on the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w:t>
      </w:r>
      <w:r w:rsidRPr="0025409F">
        <w:rPr>
          <w:rFonts w:ascii="Arial" w:eastAsia="Yu Mincho" w:hAnsi="Arial" w:cs="Arial"/>
          <w:bCs/>
          <w:iCs/>
          <w:color w:val="000000" w:themeColor="text1"/>
          <w:sz w:val="20"/>
          <w:szCs w:val="20"/>
          <w:lang w:eastAsia="ja-JP"/>
        </w:rPr>
        <w:t>to indicate which power class requirements that the UE is referring to only when duty cycle is exceeded?</w:t>
      </w:r>
    </w:p>
    <w:p w14:paraId="558FE975" w14:textId="4869EDFA"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C23B9" w:rsidRPr="0025409F">
        <w:rPr>
          <w:rFonts w:ascii="Arial" w:eastAsia="Yu Mincho" w:hAnsi="Arial" w:cs="Arial"/>
          <w:iCs/>
          <w:sz w:val="20"/>
          <w:szCs w:val="20"/>
          <w:lang w:val="en-US" w:eastAsia="ja-JP"/>
        </w:rPr>
        <w:t>RAN4 confirms that observation b) from RAN1 is correct, which means “</w:t>
      </w:r>
      <w:r w:rsidR="009C23B9" w:rsidRPr="0025409F">
        <w:rPr>
          <w:rFonts w:ascii="Arial" w:eastAsia="Yu Mincho" w:hAnsi="Arial" w:cs="Arial"/>
          <w:i/>
          <w:iCs/>
          <w:sz w:val="20"/>
          <w:szCs w:val="20"/>
          <w:lang w:val="en-US" w:eastAsia="ja-JP"/>
        </w:rPr>
        <w:t>occasion of the report</w:t>
      </w:r>
      <w:r w:rsidR="009C23B9" w:rsidRPr="0025409F">
        <w:rPr>
          <w:rFonts w:ascii="Arial" w:eastAsia="Yu Mincho" w:hAnsi="Arial" w:cs="Arial"/>
          <w:iCs/>
          <w:sz w:val="20"/>
          <w:szCs w:val="20"/>
          <w:lang w:val="en-US" w:eastAsia="ja-JP"/>
        </w:rPr>
        <w:t xml:space="preserve">” </w:t>
      </w:r>
      <w:r w:rsidR="009C23B9" w:rsidRPr="0025409F">
        <w:rPr>
          <w:rFonts w:ascii="Arial" w:eastAsia="MS Mincho" w:hAnsi="Arial" w:cs="Arial"/>
          <w:bCs/>
          <w:color w:val="000000" w:themeColor="text1"/>
          <w:sz w:val="20"/>
          <w:szCs w:val="20"/>
        </w:rPr>
        <w:t>refers to the event that triggers the aperiodic PHR report, and not to the actual UL resource to send the MAC-CE carrying the report</w:t>
      </w:r>
      <w:r w:rsidR="00232EB0" w:rsidRPr="0025409F">
        <w:rPr>
          <w:rFonts w:ascii="Arial" w:eastAsia="MS Mincho" w:hAnsi="Arial" w:cs="Arial"/>
          <w:bCs/>
          <w:color w:val="000000" w:themeColor="text1"/>
          <w:sz w:val="20"/>
          <w:szCs w:val="20"/>
        </w:rPr>
        <w:t>.</w:t>
      </w:r>
    </w:p>
    <w:p w14:paraId="6A93B00A"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color w:val="000000" w:themeColor="text1"/>
          <w:sz w:val="20"/>
          <w:szCs w:val="20"/>
          <w:lang w:eastAsia="ja-JP"/>
        </w:rPr>
      </w:pPr>
    </w:p>
    <w:p w14:paraId="3CB820DF" w14:textId="0B44632E" w:rsidR="00DA0048"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lastRenderedPageBreak/>
        <w:t>Q4</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clarify the meaning of the recommendation related to the combination of the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w:t>
      </w:r>
      <w:r w:rsidRPr="0025409F">
        <w:rPr>
          <w:rFonts w:ascii="Arial" w:eastAsia="Yu Mincho" w:hAnsi="Arial" w:cs="Arial"/>
          <w:iCs/>
          <w:color w:val="000000" w:themeColor="text1"/>
          <w:sz w:val="20"/>
          <w:szCs w:val="20"/>
          <w:lang w:eastAsia="ja-JP"/>
        </w:rPr>
        <w:t>report with full-power MIMO transmission capability reporting corresponding to the current power class?</w:t>
      </w:r>
    </w:p>
    <w:p w14:paraId="70A47875" w14:textId="30E64869" w:rsidR="004833AE" w:rsidRPr="0025409F" w:rsidRDefault="004833AE"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w:t>
      </w:r>
      <w:r>
        <w:rPr>
          <w:rFonts w:ascii="Arial" w:eastAsia="Yu Mincho" w:hAnsi="Arial" w:cs="Arial"/>
          <w:iCs/>
          <w:sz w:val="20"/>
          <w:szCs w:val="20"/>
          <w:lang w:eastAsia="ja-JP"/>
        </w:rPr>
        <w:t xml:space="preserve"> </w:t>
      </w:r>
      <w:bookmarkStart w:id="7" w:name="_GoBack"/>
      <w:bookmarkEnd w:id="7"/>
      <w:r w:rsidRPr="00DE4D13">
        <w:rPr>
          <w:rFonts w:ascii="Arial" w:hAnsi="Arial" w:cs="Arial"/>
        </w:rPr>
        <w:t xml:space="preserve">The intention </w:t>
      </w:r>
      <w:r>
        <w:rPr>
          <w:rFonts w:ascii="Arial" w:hAnsi="Arial" w:cs="Arial"/>
          <w:lang w:val="en-US"/>
        </w:rPr>
        <w:t>is to allow</w:t>
      </w:r>
      <w:r w:rsidRPr="00DE4D13">
        <w:rPr>
          <w:rFonts w:ascii="Arial" w:hAnsi="Arial" w:cs="Arial"/>
        </w:rPr>
        <w:t xml:space="preserve"> UE to report a more suitable mode for </w:t>
      </w:r>
      <w:proofErr w:type="spellStart"/>
      <w:r w:rsidRPr="00DE4D13">
        <w:rPr>
          <w:rFonts w:ascii="Arial" w:hAnsi="Arial" w:cs="Arial"/>
        </w:rPr>
        <w:t>ul-FullPowerTransmission</w:t>
      </w:r>
      <w:proofErr w:type="spellEnd"/>
      <w:r w:rsidRPr="00DE4D13">
        <w:rPr>
          <w:rFonts w:ascii="Arial" w:hAnsi="Arial" w:cs="Arial"/>
        </w:rPr>
        <w:t xml:space="preserve"> depending on </w:t>
      </w:r>
      <w:proofErr w:type="spellStart"/>
      <w:r w:rsidRPr="00DE4D13">
        <w:rPr>
          <w:rFonts w:ascii="Arial" w:hAnsi="Arial" w:cs="Arial"/>
        </w:rPr>
        <w:t>ΔP</w:t>
      </w:r>
      <w:r w:rsidRPr="00DE4D13">
        <w:rPr>
          <w:rFonts w:ascii="Arial" w:hAnsi="Arial" w:cs="Arial"/>
          <w:vertAlign w:val="subscript"/>
        </w:rPr>
        <w:t>PowerClass</w:t>
      </w:r>
      <w:proofErr w:type="spellEnd"/>
      <w:r>
        <w:rPr>
          <w:rFonts w:ascii="Arial" w:hAnsi="Arial" w:cs="Arial"/>
          <w:sz w:val="20"/>
          <w:szCs w:val="20"/>
          <w:lang w:val="en-US" w:eastAsia="ja-JP"/>
        </w:rPr>
        <w:t xml:space="preserve">. </w:t>
      </w:r>
      <w:r w:rsidRPr="00CE615D">
        <w:rPr>
          <w:rFonts w:ascii="Arial" w:eastAsia="Yu Mincho" w:hAnsi="Arial" w:cs="Arial" w:hint="eastAsia"/>
          <w:iCs/>
          <w:sz w:val="20"/>
          <w:szCs w:val="20"/>
          <w:lang w:val="en-US" w:eastAsia="ja-JP"/>
        </w:rPr>
        <w:t>A</w:t>
      </w:r>
      <w:r>
        <w:rPr>
          <w:rFonts w:ascii="Arial" w:eastAsia="Yu Mincho" w:hAnsi="Arial" w:cs="Arial"/>
          <w:iCs/>
          <w:sz w:val="20"/>
          <w:szCs w:val="20"/>
          <w:lang w:val="en-US" w:eastAsia="ja-JP"/>
        </w:rPr>
        <w:t>n</w:t>
      </w:r>
      <w:r w:rsidRPr="00CE615D">
        <w:rPr>
          <w:rFonts w:ascii="Arial" w:eastAsia="Yu Mincho" w:hAnsi="Arial" w:cs="Arial"/>
          <w:iCs/>
          <w:sz w:val="20"/>
          <w:szCs w:val="20"/>
          <w:lang w:val="en-US" w:eastAsia="ja-JP"/>
        </w:rPr>
        <w:t xml:space="preserve"> example </w:t>
      </w:r>
      <w:r>
        <w:rPr>
          <w:rFonts w:ascii="Arial" w:eastAsia="Yu Mincho" w:hAnsi="Arial" w:cs="Arial"/>
          <w:iCs/>
          <w:sz w:val="20"/>
          <w:szCs w:val="20"/>
          <w:lang w:val="en-US" w:eastAsia="ja-JP"/>
        </w:rPr>
        <w:t>is</w:t>
      </w:r>
      <w:r w:rsidRPr="00CE615D">
        <w:rPr>
          <w:rFonts w:ascii="Arial" w:eastAsia="Yu Mincho" w:hAnsi="Arial" w:cs="Arial"/>
          <w:iCs/>
          <w:sz w:val="20"/>
          <w:szCs w:val="20"/>
          <w:lang w:val="en-US" w:eastAsia="ja-JP"/>
        </w:rPr>
        <w:t xml:space="preserve"> a UE</w:t>
      </w:r>
      <w:r>
        <w:rPr>
          <w:rFonts w:ascii="Arial" w:eastAsia="Yu Mincho" w:hAnsi="Arial" w:cs="Arial"/>
          <w:iCs/>
          <w:sz w:val="20"/>
          <w:szCs w:val="20"/>
          <w:lang w:val="en-US" w:eastAsia="ja-JP"/>
        </w:rPr>
        <w:t xml:space="preserve"> that</w:t>
      </w:r>
      <w:r w:rsidRPr="00CE615D">
        <w:rPr>
          <w:rFonts w:ascii="Arial" w:eastAsia="Yu Mincho" w:hAnsi="Arial" w:cs="Arial"/>
          <w:iCs/>
          <w:sz w:val="20"/>
          <w:szCs w:val="20"/>
          <w:lang w:val="en-US" w:eastAsia="ja-JP"/>
        </w:rPr>
        <w:t xml:space="preserve"> supports PC1.5 with </w:t>
      </w:r>
      <w:r>
        <w:rPr>
          <w:rFonts w:ascii="Arial" w:eastAsia="Yu Mincho" w:hAnsi="Arial" w:cs="Arial"/>
          <w:i/>
          <w:iCs/>
          <w:sz w:val="20"/>
          <w:szCs w:val="20"/>
          <w:lang w:val="en-US" w:eastAsia="ja-JP"/>
        </w:rPr>
        <w:t>ul-FullPwrMode1</w:t>
      </w:r>
      <w:r w:rsidRPr="00CE615D">
        <w:rPr>
          <w:rFonts w:ascii="Arial" w:eastAsia="Yu Mincho" w:hAnsi="Arial" w:cs="Arial"/>
          <w:i/>
          <w:iCs/>
          <w:sz w:val="20"/>
          <w:szCs w:val="20"/>
          <w:lang w:val="en-US" w:eastAsia="ja-JP"/>
        </w:rPr>
        <w:t>-r16</w:t>
      </w:r>
      <w:r>
        <w:rPr>
          <w:rFonts w:ascii="Arial" w:eastAsia="Yu Mincho" w:hAnsi="Arial" w:cs="Arial"/>
          <w:i/>
          <w:iCs/>
          <w:sz w:val="20"/>
          <w:szCs w:val="20"/>
          <w:lang w:val="en-US" w:eastAsia="ja-JP"/>
        </w:rPr>
        <w:t xml:space="preserve">. </w:t>
      </w:r>
      <w:r>
        <w:rPr>
          <w:rFonts w:ascii="Arial" w:eastAsia="Yu Mincho" w:hAnsi="Arial" w:cs="Arial"/>
          <w:iCs/>
          <w:sz w:val="20"/>
          <w:szCs w:val="20"/>
          <w:lang w:val="en-US" w:eastAsia="ja-JP"/>
        </w:rPr>
        <w:t>This type of UE would be</w:t>
      </w:r>
      <w:r w:rsidRPr="00CE615D">
        <w:rPr>
          <w:rFonts w:ascii="Arial" w:eastAsia="Yu Mincho" w:hAnsi="Arial" w:cs="Arial"/>
          <w:iCs/>
          <w:sz w:val="20"/>
          <w:szCs w:val="20"/>
          <w:lang w:val="en-US" w:eastAsia="ja-JP"/>
        </w:rPr>
        <w:t xml:space="preserve"> allowed to indicate additional </w:t>
      </w:r>
      <w:r>
        <w:rPr>
          <w:rFonts w:ascii="Arial" w:eastAsia="Yu Mincho" w:hAnsi="Arial" w:cs="Arial"/>
          <w:i/>
          <w:iCs/>
          <w:sz w:val="20"/>
          <w:szCs w:val="20"/>
          <w:lang w:val="en-US" w:eastAsia="ja-JP"/>
        </w:rPr>
        <w:t>ul-FullPwrMode</w:t>
      </w:r>
      <w:r w:rsidRPr="00CE615D">
        <w:rPr>
          <w:rFonts w:ascii="Arial" w:eastAsia="Yu Mincho" w:hAnsi="Arial" w:cs="Arial"/>
          <w:i/>
          <w:iCs/>
          <w:sz w:val="20"/>
          <w:szCs w:val="20"/>
          <w:lang w:val="en-US" w:eastAsia="ja-JP"/>
        </w:rPr>
        <w:t>-r16</w:t>
      </w:r>
      <w:r w:rsidRPr="00CE615D">
        <w:rPr>
          <w:rFonts w:ascii="Arial" w:eastAsia="Yu Mincho" w:hAnsi="Arial" w:cs="Arial"/>
          <w:iCs/>
          <w:sz w:val="20"/>
          <w:szCs w:val="20"/>
          <w:lang w:val="en-US" w:eastAsia="ja-JP"/>
        </w:rPr>
        <w:t xml:space="preserve"> capabilit</w:t>
      </w:r>
      <w:r>
        <w:rPr>
          <w:rFonts w:ascii="Arial" w:eastAsia="Yu Mincho" w:hAnsi="Arial" w:cs="Arial"/>
          <w:iCs/>
          <w:sz w:val="20"/>
          <w:szCs w:val="20"/>
          <w:lang w:val="en-US" w:eastAsia="ja-JP"/>
        </w:rPr>
        <w:t xml:space="preserve">ies </w:t>
      </w:r>
      <w:r w:rsidRPr="00CE615D">
        <w:rPr>
          <w:rFonts w:ascii="Arial" w:eastAsia="Yu Mincho" w:hAnsi="Arial" w:cs="Arial"/>
          <w:iCs/>
          <w:sz w:val="20"/>
          <w:szCs w:val="20"/>
          <w:lang w:val="en-US" w:eastAsia="ja-JP"/>
        </w:rPr>
        <w:t xml:space="preserve">which </w:t>
      </w:r>
      <w:r>
        <w:rPr>
          <w:rFonts w:ascii="Arial" w:eastAsia="Yu Mincho" w:hAnsi="Arial" w:cs="Arial"/>
          <w:iCs/>
          <w:sz w:val="20"/>
          <w:szCs w:val="20"/>
          <w:lang w:val="en-US" w:eastAsia="ja-JP"/>
        </w:rPr>
        <w:t>would apply</w:t>
      </w:r>
      <w:r w:rsidRPr="00CE615D">
        <w:rPr>
          <w:rFonts w:ascii="Arial" w:eastAsia="Yu Mincho" w:hAnsi="Arial" w:cs="Arial"/>
          <w:iCs/>
          <w:sz w:val="20"/>
          <w:szCs w:val="20"/>
          <w:lang w:val="en-US" w:eastAsia="ja-JP"/>
        </w:rPr>
        <w:t xml:space="preserve"> only </w:t>
      </w:r>
      <w:r>
        <w:rPr>
          <w:rFonts w:ascii="Arial" w:eastAsia="Yu Mincho" w:hAnsi="Arial" w:cs="Arial"/>
          <w:iCs/>
          <w:sz w:val="20"/>
          <w:szCs w:val="20"/>
          <w:lang w:val="en-US" w:eastAsia="ja-JP"/>
        </w:rPr>
        <w:t xml:space="preserve">when </w:t>
      </w:r>
      <w:proofErr w:type="spellStart"/>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proofErr w:type="spellEnd"/>
      <w:r w:rsidRPr="00CE615D">
        <w:rPr>
          <w:rFonts w:ascii="Arial" w:eastAsia="Yu Mincho" w:hAnsi="Arial" w:cs="Arial"/>
          <w:iCs/>
          <w:sz w:val="20"/>
          <w:szCs w:val="20"/>
          <w:lang w:val="en-US" w:eastAsia="ja-JP"/>
        </w:rPr>
        <w:t xml:space="preserve"> = 3 dB or </w:t>
      </w:r>
      <w:r>
        <w:rPr>
          <w:rFonts w:ascii="Arial" w:eastAsia="Yu Mincho" w:hAnsi="Arial" w:cs="Arial"/>
          <w:iCs/>
          <w:sz w:val="20"/>
          <w:szCs w:val="20"/>
          <w:lang w:val="en-US" w:eastAsia="ja-JP"/>
        </w:rPr>
        <w:t xml:space="preserve">when </w:t>
      </w:r>
      <w:proofErr w:type="spellStart"/>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proofErr w:type="spellEnd"/>
      <w:r w:rsidRPr="00CE615D">
        <w:rPr>
          <w:rFonts w:ascii="Arial" w:eastAsia="Yu Mincho" w:hAnsi="Arial" w:cs="Arial"/>
          <w:iCs/>
          <w:sz w:val="20"/>
          <w:szCs w:val="20"/>
          <w:lang w:val="en-US" w:eastAsia="ja-JP"/>
        </w:rPr>
        <w:t xml:space="preserve"> = 6 dB</w:t>
      </w:r>
      <w:r>
        <w:rPr>
          <w:rFonts w:ascii="Arial" w:eastAsia="Yu Mincho" w:hAnsi="Arial" w:cs="Arial"/>
          <w:iCs/>
          <w:sz w:val="20"/>
          <w:szCs w:val="20"/>
          <w:lang w:val="en-US" w:eastAsia="ja-JP"/>
        </w:rPr>
        <w:t xml:space="preserve">, i.e. </w:t>
      </w:r>
      <w:r w:rsidRPr="00CE615D">
        <w:rPr>
          <w:rFonts w:ascii="Arial" w:eastAsia="Yu Mincho" w:hAnsi="Arial" w:cs="Arial"/>
          <w:iCs/>
          <w:sz w:val="20"/>
          <w:szCs w:val="20"/>
          <w:lang w:val="en-US" w:eastAsia="ja-JP"/>
        </w:rPr>
        <w:t xml:space="preserve">where achievable maximum transmission power is capped by 26 </w:t>
      </w:r>
      <w:proofErr w:type="spellStart"/>
      <w:r w:rsidRPr="00CE615D">
        <w:rPr>
          <w:rFonts w:ascii="Arial" w:eastAsia="Yu Mincho" w:hAnsi="Arial" w:cs="Arial"/>
          <w:iCs/>
          <w:sz w:val="20"/>
          <w:szCs w:val="20"/>
          <w:lang w:val="en-US" w:eastAsia="ja-JP"/>
        </w:rPr>
        <w:t>dBm</w:t>
      </w:r>
      <w:proofErr w:type="spellEnd"/>
      <w:r w:rsidRPr="00CE615D">
        <w:rPr>
          <w:rFonts w:ascii="Arial" w:eastAsia="Yu Mincho" w:hAnsi="Arial" w:cs="Arial"/>
          <w:iCs/>
          <w:sz w:val="20"/>
          <w:szCs w:val="20"/>
          <w:lang w:val="en-US" w:eastAsia="ja-JP"/>
        </w:rPr>
        <w:t xml:space="preserve"> or 23 </w:t>
      </w:r>
      <w:proofErr w:type="spellStart"/>
      <w:r w:rsidRPr="00CE615D">
        <w:rPr>
          <w:rFonts w:ascii="Arial" w:eastAsia="Yu Mincho" w:hAnsi="Arial" w:cs="Arial"/>
          <w:iCs/>
          <w:sz w:val="20"/>
          <w:szCs w:val="20"/>
          <w:lang w:val="en-US" w:eastAsia="ja-JP"/>
        </w:rPr>
        <w:t>dBm</w:t>
      </w:r>
      <w:proofErr w:type="spellEnd"/>
      <w:r w:rsidRPr="00CE615D">
        <w:rPr>
          <w:rFonts w:ascii="Arial" w:eastAsia="Yu Mincho" w:hAnsi="Arial" w:cs="Arial"/>
          <w:iCs/>
          <w:sz w:val="20"/>
          <w:szCs w:val="20"/>
          <w:lang w:val="en-US" w:eastAsia="ja-JP"/>
        </w:rPr>
        <w:t>, respectively</w:t>
      </w:r>
      <w:r>
        <w:rPr>
          <w:rFonts w:ascii="Arial" w:eastAsia="Yu Mincho" w:hAnsi="Arial" w:cs="Arial"/>
          <w:iCs/>
          <w:sz w:val="20"/>
          <w:szCs w:val="20"/>
          <w:lang w:val="en-US" w:eastAsia="ja-JP"/>
        </w:rPr>
        <w:t xml:space="preserve">. RAN4 assumes that a UE behavior would be defined in accordance with the supported </w:t>
      </w:r>
      <w:proofErr w:type="spellStart"/>
      <w:r>
        <w:rPr>
          <w:rFonts w:ascii="Arial" w:eastAsia="Yu Mincho" w:hAnsi="Arial" w:cs="Arial"/>
          <w:iCs/>
          <w:sz w:val="20"/>
          <w:szCs w:val="20"/>
          <w:lang w:val="en-US" w:eastAsia="ja-JP"/>
        </w:rPr>
        <w:t>UL</w:t>
      </w:r>
      <w:r>
        <w:rPr>
          <w:rFonts w:ascii="Arial" w:eastAsia="Yu Mincho" w:hAnsi="Arial" w:cs="Arial"/>
          <w:iCs/>
          <w:sz w:val="20"/>
          <w:szCs w:val="20"/>
          <w:lang w:val="en-US" w:eastAsia="ja-JP"/>
        </w:rPr>
        <w:t>F</w:t>
      </w:r>
      <w:r>
        <w:rPr>
          <w:rFonts w:ascii="Arial" w:eastAsia="Yu Mincho" w:hAnsi="Arial" w:cs="Arial"/>
          <w:iCs/>
          <w:sz w:val="20"/>
          <w:szCs w:val="20"/>
          <w:lang w:val="en-US" w:eastAsia="ja-JP"/>
        </w:rPr>
        <w:t>PTx</w:t>
      </w:r>
      <w:proofErr w:type="spellEnd"/>
      <w:r>
        <w:rPr>
          <w:rFonts w:ascii="Arial" w:eastAsia="Yu Mincho" w:hAnsi="Arial" w:cs="Arial"/>
          <w:iCs/>
          <w:sz w:val="20"/>
          <w:szCs w:val="20"/>
          <w:lang w:val="en-US" w:eastAsia="ja-JP"/>
        </w:rPr>
        <w:t xml:space="preserve"> mode as the </w:t>
      </w:r>
      <w:proofErr w:type="spellStart"/>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proofErr w:type="spellEnd"/>
      <w:r>
        <w:rPr>
          <w:rFonts w:ascii="Arial" w:eastAsia="Yu Mincho" w:hAnsi="Arial" w:cs="Arial"/>
          <w:iCs/>
          <w:sz w:val="20"/>
          <w:szCs w:val="20"/>
          <w:lang w:val="en-US" w:eastAsia="ja-JP"/>
        </w:rPr>
        <w:t xml:space="preserve"> changes</w:t>
      </w:r>
      <w:r>
        <w:rPr>
          <w:rFonts w:ascii="Arial" w:eastAsia="Yu Mincho" w:hAnsi="Arial" w:cs="Arial"/>
          <w:iCs/>
          <w:sz w:val="20"/>
          <w:szCs w:val="20"/>
          <w:lang w:val="en-US" w:eastAsia="ja-JP"/>
        </w:rPr>
        <w:t>.</w:t>
      </w:r>
    </w:p>
    <w:p w14:paraId="01EB3943" w14:textId="53BE682E" w:rsidR="00CE615D" w:rsidRPr="004833AE" w:rsidRDefault="00CE615D" w:rsidP="004833AE">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796E0E1" w14:textId="0CE512A8" w:rsidR="00267E1A" w:rsidRDefault="00CE0701" w:rsidP="00D82841">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lang w:eastAsia="ja-JP"/>
        </w:rPr>
      </w:pPr>
      <w:r w:rsidRPr="00D82841">
        <w:rPr>
          <w:rFonts w:ascii="Arial" w:eastAsia="Yu Mincho" w:hAnsi="Arial" w:cs="Arial"/>
          <w:iCs/>
          <w:lang w:eastAsia="ja-JP"/>
        </w:rPr>
        <w:t xml:space="preserve">   </w:t>
      </w:r>
      <w:r w:rsidR="00586A19" w:rsidRPr="00D82841">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096FFA39" w14:textId="2AB28399" w:rsidR="00767D46" w:rsidRDefault="00767D46" w:rsidP="00767D46">
      <w:pPr>
        <w:spacing w:after="120"/>
        <w:ind w:left="1985" w:hanging="1985"/>
        <w:rPr>
          <w:rFonts w:ascii="Arial" w:hAnsi="Arial" w:cs="Arial"/>
          <w:b/>
        </w:rPr>
      </w:pPr>
      <w:r>
        <w:rPr>
          <w:rFonts w:ascii="Arial" w:hAnsi="Arial" w:cs="Arial"/>
          <w:b/>
        </w:rPr>
        <w:t xml:space="preserve">To </w:t>
      </w:r>
      <w:r w:rsidR="00DA0048">
        <w:rPr>
          <w:rFonts w:ascii="Arial" w:hAnsi="Arial" w:cs="Arial"/>
          <w:b/>
        </w:rPr>
        <w:t xml:space="preserve">RAN1 </w:t>
      </w:r>
    </w:p>
    <w:p w14:paraId="3393ABB6" w14:textId="4299C9E5" w:rsidR="00767D46" w:rsidRDefault="00767D46" w:rsidP="00DA0048">
      <w:pPr>
        <w:spacing w:after="120"/>
        <w:ind w:left="993" w:hanging="993"/>
        <w:jc w:val="both"/>
        <w:rPr>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w:t>
      </w:r>
      <w:r w:rsidR="00DA0048">
        <w:rPr>
          <w:rFonts w:ascii="Arial" w:hAnsi="Arial" w:cs="Arial"/>
          <w:lang w:val="en-US"/>
        </w:rPr>
        <w:t xml:space="preserve">RAN1 </w:t>
      </w:r>
      <w:r w:rsidRPr="003C12C9">
        <w:rPr>
          <w:rFonts w:ascii="Arial" w:hAnsi="Arial" w:cs="Arial"/>
          <w:lang w:val="en-US"/>
        </w:rPr>
        <w:t xml:space="preserve">to </w:t>
      </w:r>
      <w:r w:rsidR="00790DA4">
        <w:rPr>
          <w:rFonts w:ascii="Arial" w:hAnsi="Arial" w:cs="Arial"/>
          <w:lang w:val="en-US"/>
        </w:rPr>
        <w:t xml:space="preserve">consider </w:t>
      </w:r>
      <w:r w:rsidR="00C335E9">
        <w:rPr>
          <w:rFonts w:ascii="Arial" w:hAnsi="Arial" w:cs="Arial"/>
          <w:lang w:val="en-US"/>
        </w:rPr>
        <w:t>above information</w:t>
      </w:r>
      <w:r w:rsidR="007E697D">
        <w:rPr>
          <w:rFonts w:ascii="Arial" w:hAnsi="Arial" w:cs="Arial"/>
          <w:lang w:val="en-US"/>
        </w:rPr>
        <w:t xml:space="preserve">. </w:t>
      </w:r>
      <w:r w:rsidRPr="008617BB">
        <w:rPr>
          <w:szCs w:val="22"/>
        </w:rPr>
        <w:t xml:space="preserve"> </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6ACFD87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EDCD30F" w14:textId="77777777" w:rsidR="00DF32A9" w:rsidRDefault="00DF32A9" w:rsidP="00DF32A9">
      <w:pPr>
        <w:rPr>
          <w:rFonts w:ascii="Arial" w:hAnsi="Arial" w:cs="Arial"/>
          <w:lang w:val="en-US"/>
        </w:rPr>
      </w:pPr>
      <w:r w:rsidRPr="003C12C9">
        <w:rPr>
          <w:rFonts w:ascii="Arial" w:hAnsi="Arial" w:cs="Arial"/>
          <w:lang w:val="en-US"/>
        </w:rPr>
        <w:t>TSG RAN WG4 Meeting #10</w:t>
      </w:r>
      <w:r>
        <w:rPr>
          <w:rFonts w:ascii="Arial" w:hAnsi="Arial" w:cs="Arial"/>
          <w:lang w:val="en-US"/>
        </w:rPr>
        <w:t>9</w:t>
      </w:r>
      <w:r>
        <w:rPr>
          <w:rFonts w:ascii="Arial" w:hAnsi="Arial" w:cs="Arial"/>
          <w:lang w:val="en-US"/>
        </w:rPr>
        <w:tab/>
        <w:t xml:space="preserve">     November 13</w:t>
      </w:r>
      <w:r w:rsidRPr="003C12C9">
        <w:rPr>
          <w:rFonts w:ascii="Arial" w:hAnsi="Arial" w:cs="Arial"/>
          <w:lang w:val="en-US"/>
        </w:rPr>
        <w:t xml:space="preserve"> – </w:t>
      </w:r>
      <w:r>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Chicago, United States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F428F" w14:textId="77777777" w:rsidR="003B41B1" w:rsidRDefault="003B41B1" w:rsidP="0052762B">
      <w:r>
        <w:separator/>
      </w:r>
    </w:p>
  </w:endnote>
  <w:endnote w:type="continuationSeparator" w:id="0">
    <w:p w14:paraId="3FD42C3D" w14:textId="77777777" w:rsidR="003B41B1" w:rsidRDefault="003B41B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445CA" w14:textId="77777777" w:rsidR="003B41B1" w:rsidRDefault="003B41B1" w:rsidP="0052762B">
      <w:r>
        <w:separator/>
      </w:r>
    </w:p>
  </w:footnote>
  <w:footnote w:type="continuationSeparator" w:id="0">
    <w:p w14:paraId="0FA184F0" w14:textId="77777777" w:rsidR="003B41B1" w:rsidRDefault="003B41B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0"/>
  </w:num>
  <w:num w:numId="3">
    <w:abstractNumId w:val="24"/>
  </w:num>
  <w:num w:numId="4">
    <w:abstractNumId w:val="38"/>
  </w:num>
  <w:num w:numId="5">
    <w:abstractNumId w:val="35"/>
  </w:num>
  <w:num w:numId="6">
    <w:abstractNumId w:val="18"/>
  </w:num>
  <w:num w:numId="7">
    <w:abstractNumId w:val="30"/>
  </w:num>
  <w:num w:numId="8">
    <w:abstractNumId w:val="47"/>
  </w:num>
  <w:num w:numId="9">
    <w:abstractNumId w:val="16"/>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1"/>
  </w:num>
  <w:num w:numId="14">
    <w:abstractNumId w:val="31"/>
  </w:num>
  <w:num w:numId="15">
    <w:abstractNumId w:val="2"/>
  </w:num>
  <w:num w:numId="16">
    <w:abstractNumId w:val="19"/>
  </w:num>
  <w:num w:numId="17">
    <w:abstractNumId w:val="36"/>
  </w:num>
  <w:num w:numId="18">
    <w:abstractNumId w:val="13"/>
  </w:num>
  <w:num w:numId="19">
    <w:abstractNumId w:val="12"/>
  </w:num>
  <w:num w:numId="20">
    <w:abstractNumId w:val="4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5"/>
  </w:num>
  <w:num w:numId="23">
    <w:abstractNumId w:val="6"/>
  </w:num>
  <w:num w:numId="24">
    <w:abstractNumId w:val="8"/>
  </w:num>
  <w:num w:numId="25">
    <w:abstractNumId w:val="46"/>
  </w:num>
  <w:num w:numId="26">
    <w:abstractNumId w:val="34"/>
  </w:num>
  <w:num w:numId="27">
    <w:abstractNumId w:val="22"/>
  </w:num>
  <w:num w:numId="28">
    <w:abstractNumId w:val="1"/>
  </w:num>
  <w:num w:numId="29">
    <w:abstractNumId w:val="33"/>
  </w:num>
  <w:num w:numId="30">
    <w:abstractNumId w:val="40"/>
  </w:num>
  <w:num w:numId="31">
    <w:abstractNumId w:val="27"/>
  </w:num>
  <w:num w:numId="32">
    <w:abstractNumId w:val="44"/>
  </w:num>
  <w:num w:numId="33">
    <w:abstractNumId w:val="4"/>
  </w:num>
  <w:num w:numId="34">
    <w:abstractNumId w:val="23"/>
  </w:num>
  <w:num w:numId="35">
    <w:abstractNumId w:val="5"/>
  </w:num>
  <w:num w:numId="36">
    <w:abstractNumId w:val="25"/>
  </w:num>
  <w:num w:numId="37">
    <w:abstractNumId w:val="39"/>
  </w:num>
  <w:num w:numId="38">
    <w:abstractNumId w:val="32"/>
  </w:num>
  <w:num w:numId="39">
    <w:abstractNumId w:val="45"/>
  </w:num>
  <w:num w:numId="40">
    <w:abstractNumId w:val="37"/>
  </w:num>
  <w:num w:numId="41">
    <w:abstractNumId w:val="26"/>
  </w:num>
  <w:num w:numId="42">
    <w:abstractNumId w:val="3"/>
  </w:num>
  <w:num w:numId="43">
    <w:abstractNumId w:val="17"/>
  </w:num>
  <w:num w:numId="44">
    <w:abstractNumId w:val="14"/>
  </w:num>
  <w:num w:numId="45">
    <w:abstractNumId w:val="43"/>
  </w:num>
  <w:num w:numId="46">
    <w:abstractNumId w:val="9"/>
  </w:num>
  <w:num w:numId="47">
    <w:abstractNumId w:val="10"/>
  </w:num>
  <w:num w:numId="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1CD8"/>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0031"/>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0F26"/>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E65"/>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B6D"/>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0EAE"/>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1B1"/>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4EEA"/>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3AE"/>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578"/>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6F9"/>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0302"/>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8EA"/>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3C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8E5"/>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10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EBF"/>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6E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2A47"/>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1C1"/>
    <w:rsid w:val="00C03D11"/>
    <w:rsid w:val="00C0443F"/>
    <w:rsid w:val="00C04B37"/>
    <w:rsid w:val="00C052D0"/>
    <w:rsid w:val="00C058F0"/>
    <w:rsid w:val="00C05B24"/>
    <w:rsid w:val="00C05F0D"/>
    <w:rsid w:val="00C066D6"/>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41B"/>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15D"/>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1B4"/>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5EC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24D"/>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DC8"/>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CB1A9-9F75-4312-8D92-33652F6A9B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9</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Moderator</cp:lastModifiedBy>
  <cp:revision>3</cp:revision>
  <cp:lastPrinted>2010-01-07T02:23:00Z</cp:lastPrinted>
  <dcterms:created xsi:type="dcterms:W3CDTF">2023-10-13T00:31:00Z</dcterms:created>
  <dcterms:modified xsi:type="dcterms:W3CDTF">2023-10-13T00:40:00Z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(3)WvPg6/w7SvojgQ5zGYio8KqGq9kbizq3MvC93uPpPLRB6clblDb+pGFchrtT5NU2FfjfOnUR
VfVqpMQsR19xmTNDcS7HuE/+XbwtxJSRNrfNYq/EW1F7aIZK2AVWHQxlCB2TtAaSNl7z4lGo
ah5a4YfQ2QNflKLh5m+hlqAl2abpj6aZn2ByxyfPQ2G03nHnz+x4ie8j6PKC/FcWWKFLpvTE
BcKgJz34g1LVm2esjF</vt:lpwstr>
  </property>
  <property fmtid="{D5CDD505-2E9C-101B-9397-08002B2CF9AE}" pid="15" name="_2015_ms_pID_725343_00">
    <vt:lpwstr>_2015_ms_pID_725343</vt:lpwstr>
  </property>
  <property fmtid="{D5CDD505-2E9C-101B-9397-08002B2CF9AE}" pid="16" name="_2015_ms_pID_7253431">
    <vt:lpwstr>afyh3h9gX4frgG3ALNKocx1tjPTgB4juW3O+fS4NMq4twE1CQQOTKB
hEF45trXBJh08x0XZ0WQ1DdK3Lgjw6SSryXrFNtQ1BiVZjjf+DdjebZ3TMOgBcmV88+ubY/o
w+ROCUw4PaCFRsliWh4bchCmuBjEqxw7FZHixzADjbYYhrhrnQXt+DXZMRYbTMdCpS1BZh+B
Uyu/ILcNkDXlabIKoYtebM9gwW93gwGvxRhc</vt:lpwstr>
  </property>
  <property fmtid="{D5CDD505-2E9C-101B-9397-08002B2CF9AE}" pid="17" name="_2015_ms_pID_7253431_00">
    <vt:lpwstr>_2015_ms_pID_7253431</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1696914320</vt:lpwstr>
  </property>
</Properties>
</file>